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7C416A5F" w:rsidR="00ED223E" w:rsidRPr="00F7404F" w:rsidRDefault="00ED223E" w:rsidP="00EB65C2">
      <w:pPr>
        <w:pStyle w:val="Sinespaciado"/>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w:t>
      </w:r>
      <w:r w:rsidR="00B740CB">
        <w:rPr>
          <w:sz w:val="24"/>
          <w:szCs w:val="24"/>
        </w:rPr>
        <w:t xml:space="preserve"> </w:t>
      </w:r>
      <w:r w:rsidRPr="00692A98">
        <w:rPr>
          <w:sz w:val="24"/>
          <w:szCs w:val="24"/>
        </w:rPr>
        <w:t>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proofErr w:type="spellStart"/>
      <w:r w:rsidRPr="00C9642F">
        <w:rPr>
          <w:sz w:val="24"/>
          <w:szCs w:val="24"/>
        </w:rPr>
        <w:t>Institute</w:t>
      </w:r>
      <w:proofErr w:type="spellEnd"/>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w:t>
      </w:r>
      <w:proofErr w:type="gramStart"/>
      <w:r>
        <w:t>todos  los</w:t>
      </w:r>
      <w:proofErr w:type="gramEnd"/>
      <w:r>
        <w:t xml:space="preserve">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 xml:space="preserve">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w:t>
      </w:r>
      <w:proofErr w:type="gramStart"/>
      <w:r>
        <w:t>cualesquier lugar</w:t>
      </w:r>
      <w:proofErr w:type="gramEnd"/>
      <w:r>
        <w:t xml:space="preserve">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 xml:space="preserve">La presencia de supervisores al servicio de la dependencia durante la ejecución de un trabajo, no liberará al contratista de su responsabilidad de realizar dicho trabajo de acuerdo con los planos y especificaciones, </w:t>
      </w:r>
      <w:proofErr w:type="gramStart"/>
      <w:r>
        <w:t>ni  de</w:t>
      </w:r>
      <w:proofErr w:type="gramEnd"/>
      <w:r>
        <w:t xml:space="preserve"> cualquiera otra obligación establecida en el contrato.</w:t>
      </w:r>
    </w:p>
    <w:p w14:paraId="78957687" w14:textId="77777777" w:rsidR="00ED223E" w:rsidRDefault="00ED223E" w:rsidP="00ED223E">
      <w:pPr>
        <w:tabs>
          <w:tab w:val="left" w:pos="990"/>
        </w:tabs>
        <w:jc w:val="both"/>
      </w:pPr>
      <w:r>
        <w:t xml:space="preserve">La dependencia se reserva el derecho de revisar en cualquier momento la localización, dimensiones, orientación y nivelación de lo </w:t>
      </w:r>
      <w:proofErr w:type="gramStart"/>
      <w:r>
        <w:t>construido  y</w:t>
      </w:r>
      <w:proofErr w:type="gramEnd"/>
      <w:r>
        <w:t>/o parte de ellas.</w:t>
      </w:r>
    </w:p>
    <w:p w14:paraId="18F10F5C" w14:textId="77777777" w:rsidR="00ED223E" w:rsidRDefault="00ED223E" w:rsidP="00ED223E">
      <w:pPr>
        <w:tabs>
          <w:tab w:val="left" w:pos="990"/>
        </w:tabs>
        <w:jc w:val="both"/>
      </w:pPr>
      <w:r>
        <w:lastRenderedPageBreak/>
        <w:t xml:space="preserve">El contratista deberá avisar a la </w:t>
      </w:r>
      <w:proofErr w:type="gramStart"/>
      <w:r>
        <w:t>dependencia  con</w:t>
      </w:r>
      <w:proofErr w:type="gramEnd"/>
      <w:r>
        <w:t xml:space="preserve">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w:t>
      </w:r>
      <w:proofErr w:type="spellStart"/>
      <w:r w:rsidR="00293AE6">
        <w:t>Publicas</w:t>
      </w:r>
      <w:proofErr w:type="spellEnd"/>
      <w:r w:rsidR="00293AE6">
        <w:t xml:space="preserve">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 xml:space="preserve">El contratista estará obligado a conocer a través de los planos, especificaciones, catálogos, estudios y demás documentos que formen parte del contrato respectivo, las características generales y de detalles de la obra, a realizar; de tal </w:t>
      </w:r>
      <w:proofErr w:type="gramStart"/>
      <w:r>
        <w:t>manera  que</w:t>
      </w:r>
      <w:proofErr w:type="gramEnd"/>
    </w:p>
    <w:p w14:paraId="7C66B42F" w14:textId="77777777" w:rsidR="00ED223E" w:rsidRDefault="00ED223E" w:rsidP="00ED223E">
      <w:pPr>
        <w:tabs>
          <w:tab w:val="left" w:pos="990"/>
        </w:tabs>
        <w:jc w:val="both"/>
      </w:pPr>
      <w:proofErr w:type="gramStart"/>
      <w:r>
        <w:lastRenderedPageBreak/>
        <w:t>Este  habilitado</w:t>
      </w:r>
      <w:proofErr w:type="gramEnd"/>
      <w:r>
        <w:t xml:space="preserve">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 xml:space="preserve">El conocimiento </w:t>
      </w:r>
      <w:proofErr w:type="gramStart"/>
      <w:r>
        <w:t>detallado  del</w:t>
      </w:r>
      <w:proofErr w:type="gramEnd"/>
      <w:r>
        <w:t xml:space="preserve">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 xml:space="preserve">Todos los materiales para el proyecto deberán ser nuevos, de primera calidad, cumplir con lo estipulado en estas </w:t>
      </w:r>
      <w:proofErr w:type="gramStart"/>
      <w:r>
        <w:t>especificaciones  y</w:t>
      </w:r>
      <w:proofErr w:type="gramEnd"/>
      <w:r>
        <w:t xml:space="preserve">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w:t>
      </w:r>
      <w:proofErr w:type="gramStart"/>
      <w:r>
        <w:t>responsabilidad  al</w:t>
      </w:r>
      <w:proofErr w:type="gramEnd"/>
      <w:r>
        <w:t xml:space="preserve">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 xml:space="preserve">La recepción de los trabajos para cualquier etapa de la construcción, estará sujeta a obtener resultados satisfactorios en las pruebas que correspondan y que dichos trabajos se hayan ejecutado de </w:t>
      </w:r>
      <w:proofErr w:type="spellStart"/>
      <w:r>
        <w:rPr>
          <w:lang w:val="es-ES_tradnl"/>
        </w:rPr>
        <w:t>acurdo</w:t>
      </w:r>
      <w:proofErr w:type="spellEnd"/>
      <w:r>
        <w:rPr>
          <w:lang w:val="es-ES_tradnl"/>
        </w:rPr>
        <w:t xml:space="preserve">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w:t>
      </w:r>
      <w:proofErr w:type="gramStart"/>
      <w:r>
        <w:rPr>
          <w:lang w:val="es-ES_tradnl"/>
        </w:rPr>
        <w:t>efectuara</w:t>
      </w:r>
      <w:proofErr w:type="gramEnd"/>
      <w:r>
        <w:rPr>
          <w:lang w:val="es-ES_tradnl"/>
        </w:rPr>
        <w:t xml:space="preserve">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6C91" w14:textId="0F41860D" w:rsidR="00B740CB" w:rsidRDefault="009A57D8" w:rsidP="005B5917">
    <w:pPr>
      <w:pStyle w:val="Encabezado"/>
      <w:tabs>
        <w:tab w:val="clear" w:pos="4419"/>
        <w:tab w:val="clear" w:pos="8838"/>
        <w:tab w:val="left" w:pos="2130"/>
      </w:tabs>
      <w:jc w:val="center"/>
      <w:rPr>
        <w:b/>
        <w:sz w:val="28"/>
        <w:szCs w:val="28"/>
      </w:rPr>
    </w:pPr>
    <w:r w:rsidRPr="009A57D8">
      <w:rPr>
        <w:b/>
        <w:sz w:val="28"/>
        <w:szCs w:val="28"/>
      </w:rPr>
      <w:t>PAVIMENTACIÓN CON CONCRETO HIDRÁULICO DE 12 CM DE ESPESOR DE CUATRO CALLES AMATISTA, TEPORACA, PRIV, DE TEPORACA Y 63 1/2 SECTOR 3 (FOLIO P.P 63)</w:t>
    </w:r>
  </w:p>
  <w:p w14:paraId="4FDC0125" w14:textId="73845681"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B740CB">
      <w:rPr>
        <w:b/>
        <w:sz w:val="28"/>
        <w:szCs w:val="28"/>
      </w:rPr>
      <w:t>1</w:t>
    </w:r>
    <w:r w:rsidR="009A57D8">
      <w:rPr>
        <w:b/>
        <w:sz w:val="28"/>
        <w:szCs w:val="28"/>
      </w:rPr>
      <w:t>1</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5B5917"/>
    <w:rsid w:val="00607C65"/>
    <w:rsid w:val="00674B90"/>
    <w:rsid w:val="00692A98"/>
    <w:rsid w:val="006D2534"/>
    <w:rsid w:val="00724EFD"/>
    <w:rsid w:val="0076461A"/>
    <w:rsid w:val="007E65D2"/>
    <w:rsid w:val="00802724"/>
    <w:rsid w:val="0087145F"/>
    <w:rsid w:val="00931B70"/>
    <w:rsid w:val="009363B1"/>
    <w:rsid w:val="00941886"/>
    <w:rsid w:val="0096078A"/>
    <w:rsid w:val="009A57D8"/>
    <w:rsid w:val="00A058CF"/>
    <w:rsid w:val="00A212FA"/>
    <w:rsid w:val="00A45624"/>
    <w:rsid w:val="00AF3F15"/>
    <w:rsid w:val="00B424BC"/>
    <w:rsid w:val="00B61207"/>
    <w:rsid w:val="00B72867"/>
    <w:rsid w:val="00B740CB"/>
    <w:rsid w:val="00C404A2"/>
    <w:rsid w:val="00C936B3"/>
    <w:rsid w:val="00C9642F"/>
    <w:rsid w:val="00D13B81"/>
    <w:rsid w:val="00DA629B"/>
    <w:rsid w:val="00DC72F1"/>
    <w:rsid w:val="00DC73BB"/>
    <w:rsid w:val="00DE18CF"/>
    <w:rsid w:val="00DF4863"/>
    <w:rsid w:val="00E06C25"/>
    <w:rsid w:val="00E13751"/>
    <w:rsid w:val="00E342CE"/>
    <w:rsid w:val="00E57772"/>
    <w:rsid w:val="00E85268"/>
    <w:rsid w:val="00EB65C2"/>
    <w:rsid w:val="00EC04DF"/>
    <w:rsid w:val="00ED223E"/>
    <w:rsid w:val="00ED3EBB"/>
    <w:rsid w:val="00F20EB6"/>
    <w:rsid w:val="00F26760"/>
    <w:rsid w:val="00F5621F"/>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B0A6-3ED5-49F0-AAED-8042A460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30</cp:revision>
  <dcterms:created xsi:type="dcterms:W3CDTF">2019-10-07T16:30:00Z</dcterms:created>
  <dcterms:modified xsi:type="dcterms:W3CDTF">2024-02-19T18:06:00Z</dcterms:modified>
</cp:coreProperties>
</file>